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ind w:right="964"/>
        <w:jc w:val="right"/>
        <w:textAlignment w:val="auto"/>
        <w:rPr>
          <w:rFonts w:hint="default" w:ascii="Arial" w:hAnsi="Arial" w:eastAsia="宋体" w:cs="Arial"/>
          <w:b/>
          <w:sz w:val="24"/>
          <w:szCs w:val="24"/>
          <w:lang w:val="en-US" w:eastAsia="zh-CN"/>
        </w:rPr>
      </w:pPr>
      <w:bookmarkStart w:id="0" w:name="_Hlt450039480"/>
      <w:bookmarkEnd w:id="0"/>
      <w:bookmarkStart w:id="1" w:name="_Hlt449016246"/>
      <w:bookmarkEnd w:id="1"/>
      <w:bookmarkStart w:id="2" w:name="_Hlt448930105"/>
      <w:bookmarkEnd w:id="2"/>
      <w:bookmarkStart w:id="3" w:name="_Hlt450051172"/>
      <w:bookmarkEnd w:id="3"/>
      <w:bookmarkStart w:id="4" w:name="_Hlt450066087"/>
      <w:bookmarkEnd w:id="4"/>
      <w:bookmarkStart w:id="5" w:name="_Hlt450066085"/>
      <w:bookmarkEnd w:id="5"/>
      <w:r>
        <w:rPr>
          <w:rFonts w:ascii="Arial" w:hAnsi="Arial" w:cs="Arial"/>
          <w:b/>
          <w:sz w:val="24"/>
          <w:szCs w:val="24"/>
        </w:rPr>
        <w:t>3GPP TSG-RAN WG4 Meeting #1</w:t>
      </w:r>
      <w:r>
        <w:rPr>
          <w:rFonts w:hint="eastAsia" w:ascii="Arial" w:hAnsi="Arial" w:eastAsia="宋体" w:cs="Arial"/>
          <w:b/>
          <w:sz w:val="24"/>
          <w:szCs w:val="24"/>
          <w:lang w:val="en-US" w:eastAsia="zh-CN"/>
        </w:rPr>
        <w:t>1</w:t>
      </w:r>
      <w:r>
        <w:rPr>
          <w:rFonts w:ascii="Arial" w:hAnsi="Arial" w:cs="Arial"/>
          <w:b/>
          <w:sz w:val="24"/>
          <w:szCs w:val="24"/>
        </w:rPr>
        <w:t>6</w:t>
      </w:r>
      <w:r>
        <w:rPr>
          <w:rFonts w:ascii="Arial" w:hAnsi="Arial" w:cs="Arial"/>
          <w:b/>
          <w:sz w:val="24"/>
          <w:szCs w:val="24"/>
        </w:rPr>
        <w:tab/>
      </w:r>
      <w:r>
        <w:rPr>
          <w:rFonts w:ascii="Arial" w:hAnsi="Arial" w:cs="Arial"/>
          <w:b/>
          <w:color w:val="000000"/>
          <w:sz w:val="24"/>
          <w:szCs w:val="24"/>
        </w:rPr>
        <w:t>R4-25</w:t>
      </w:r>
      <w:r>
        <w:rPr>
          <w:rFonts w:hint="eastAsia" w:ascii="Arial" w:hAnsi="Arial" w:eastAsia="宋体" w:cs="Arial"/>
          <w:b/>
          <w:color w:val="000000"/>
          <w:sz w:val="24"/>
          <w:szCs w:val="24"/>
          <w:lang w:val="en-US" w:eastAsia="zh-CN"/>
        </w:rPr>
        <w:t>12534</w:t>
      </w:r>
      <w:bookmarkStart w:id="65" w:name="_GoBack"/>
      <w:bookmarkEnd w:id="65"/>
    </w:p>
    <w:p>
      <w:pPr>
        <w:rPr>
          <w:lang w:eastAsia="zh-CN"/>
        </w:rPr>
      </w:pPr>
      <w:r>
        <w:rPr>
          <w:rFonts w:hint="eastAsia" w:ascii="Arial" w:hAnsi="Arial" w:cs="Arial"/>
          <w:b/>
          <w:sz w:val="24"/>
          <w:szCs w:val="24"/>
          <w:lang w:eastAsia="zh-CN"/>
        </w:rPr>
        <w:t>Bengaluru, India, August 25th – 29th,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rFonts w:hint="eastAsia" w:eastAsia="MS Mincho"/>
                <w:b/>
                <w:sz w:val="28"/>
                <w:szCs w:val="28"/>
                <w:highlight w:val="none"/>
                <w:lang w:val="en-US" w:eastAsia="zh-CN"/>
              </w:rPr>
              <w:t>38.108</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0" w:firstLineChars="100"/>
              <w:rPr>
                <w:rFonts w:hint="default"/>
                <w:lang w:val="en-US"/>
              </w:rPr>
            </w:pPr>
            <w:r>
              <w:rPr>
                <w:rFonts w:hint="eastAsia" w:eastAsia="MS Mincho"/>
                <w:b/>
                <w:sz w:val="28"/>
                <w:szCs w:val="28"/>
                <w:highlight w:val="none"/>
                <w:lang w:val="en-US" w:eastAsia="zh-CN"/>
              </w:rPr>
              <w:t>0128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MS Mincho"/>
                <w:b/>
                <w:sz w:val="28"/>
                <w:szCs w:val="28"/>
                <w:highlight w:val="none"/>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9.1.0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default" w:eastAsiaTheme="minorEastAsia"/>
                <w:lang w:val="en-US" w:eastAsia="zh-CN"/>
              </w:rPr>
              <w:t>CR to TS3</w:t>
            </w:r>
            <w:r>
              <w:rPr>
                <w:rFonts w:hint="eastAsia" w:eastAsiaTheme="minorEastAsia"/>
                <w:lang w:val="en-US" w:eastAsia="zh-CN"/>
              </w:rPr>
              <w:t>8</w:t>
            </w:r>
            <w:r>
              <w:rPr>
                <w:rFonts w:hint="default" w:eastAsiaTheme="minorEastAsia"/>
                <w:lang w:val="en-US" w:eastAsia="zh-CN"/>
              </w:rPr>
              <w:t xml:space="preserve">.108 </w:t>
            </w:r>
            <w:r>
              <w:rPr>
                <w:rFonts w:hint="eastAsia" w:eastAsiaTheme="minorEastAsia"/>
                <w:lang w:val="en-US" w:eastAsia="zh-CN"/>
              </w:rPr>
              <w:t xml:space="preserve">Introduce </w:t>
            </w:r>
            <w:r>
              <w:rPr>
                <w:rFonts w:hint="eastAsia"/>
                <w:lang w:val="en-US" w:eastAsia="zh-CN"/>
              </w:rPr>
              <w:t>the reserved GSCN / ARFCN-ValueNR and NR operating band for NTN less than 5MHz</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rPr>
            </w:pPr>
            <w:r>
              <w:rPr>
                <w:rFonts w:hint="eastAsia"/>
                <w:lang w:val="en-US" w:eastAsia="zh-CN"/>
              </w:rPr>
              <w:t>ZTE Corporation, Sanechips, Ericsson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eastAsia="zh-TW"/>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eastAsia"/>
                <w:lang w:eastAsia="zh-TW"/>
              </w:rPr>
            </w:pPr>
            <w:r>
              <w:rPr>
                <w:rFonts w:hint="eastAsia"/>
                <w:lang w:eastAsia="zh-TW"/>
              </w:rPr>
              <w:t>NR_IoT_NTN_req_test_enh-Core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rPr>
            </w:pPr>
            <w:r>
              <w:rPr>
                <w:rFonts w:hint="eastAsia"/>
                <w:lang w:eastAsia="zh-TW"/>
              </w:rPr>
              <w:t>202</w:t>
            </w:r>
            <w:r>
              <w:rPr>
                <w:rFonts w:hint="eastAsia" w:eastAsia="宋体"/>
                <w:lang w:val="en-US" w:eastAsia="zh-CN"/>
              </w:rPr>
              <w:t>5</w:t>
            </w:r>
            <w:r>
              <w:rPr>
                <w:rFonts w:hint="eastAsia"/>
                <w:lang w:eastAsia="zh-TW"/>
              </w:rPr>
              <w:t>-</w:t>
            </w:r>
            <w:r>
              <w:rPr>
                <w:rFonts w:hint="eastAsia" w:eastAsia="宋体"/>
                <w:lang w:val="en-US" w:eastAsia="zh-CN"/>
              </w:rPr>
              <w:t>08</w:t>
            </w:r>
            <w:r>
              <w:rPr>
                <w:rFonts w:hint="eastAsia"/>
                <w:lang w:eastAsia="zh-TW"/>
              </w:rPr>
              <w:t>-</w:t>
            </w:r>
            <w:r>
              <w:rPr>
                <w:rFonts w:hint="eastAsia"/>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 xml:space="preserve">LS R2-2504788 from RAN2 asks RAN4 to add </w:t>
            </w:r>
            <w:r>
              <w:rPr>
                <w:rFonts w:hint="eastAsia" w:ascii="Arial" w:hAnsi="Arial" w:cs="Arial"/>
                <w:lang w:val="en-US" w:eastAsia="zh-CN"/>
              </w:rPr>
              <w:t>similar note in Table 5.4.3.1-1</w:t>
            </w:r>
            <w:r>
              <w:rPr>
                <w:rFonts w:hint="eastAsia" w:cs="Arial"/>
                <w:lang w:val="en-US" w:eastAsia="zh-CN"/>
              </w:rPr>
              <w:t xml:space="preserve"> of 38.101-5 </w:t>
            </w:r>
            <w:r>
              <w:rPr>
                <w:rFonts w:hint="eastAsia" w:ascii="Arial" w:hAnsi="Arial" w:cs="Arial"/>
                <w:lang w:val="en-US" w:eastAsia="zh-CN"/>
              </w:rPr>
              <w:t>as note 2 in Table 5.4.3.1-1 of 38.101-1</w:t>
            </w:r>
            <w:r>
              <w:rPr>
                <w:rFonts w:hint="eastAsia" w:cs="Arial"/>
                <w:lang w:val="en-US" w:eastAsia="zh-CN"/>
              </w:rPr>
              <w:t xml:space="preserve"> to avoid </w:t>
            </w:r>
            <w:r>
              <w:rPr>
                <w:rFonts w:hint="eastAsia" w:ascii="Arial" w:hAnsi="Arial" w:cs="Arial"/>
                <w:lang w:val="en-US" w:eastAsia="zh-CN"/>
              </w:rPr>
              <w:t xml:space="preserve">backward </w:t>
            </w:r>
            <w:r>
              <w:rPr>
                <w:rFonts w:hint="eastAsia"/>
                <w:lang w:val="en-US" w:eastAsia="zh-CN"/>
              </w:rPr>
              <w:t>compatibility</w:t>
            </w:r>
            <w:r>
              <w:rPr>
                <w:rFonts w:hint="eastAsia" w:ascii="Arial" w:hAnsi="Arial" w:cs="Arial"/>
                <w:lang w:val="en-US" w:eastAsia="zh-CN"/>
              </w:rPr>
              <w:t xml:space="preserve"> issues</w:t>
            </w:r>
            <w:r>
              <w:rPr>
                <w:rFonts w:hint="eastAsia" w:cs="Arial"/>
                <w:lang w:val="en-US" w:eastAsia="zh-CN"/>
              </w:rPr>
              <w:t>. Same change should be implemented in 38.108. In addition, it also defined a reserved NR band in Table 5.2-1 to solve the problem i</w:t>
            </w:r>
            <w:r>
              <w:rPr>
                <w:rFonts w:hint="eastAsia" w:eastAsia="宋体"/>
                <w:lang w:val="en-US" w:eastAsia="zh-CN"/>
              </w:rPr>
              <w:t>n CR R4-2410598.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spacing w:after="0"/>
              <w:ind w:left="100" w:leftChars="0"/>
              <w:rPr>
                <w:rFonts w:hint="default"/>
                <w:lang w:val="en-US"/>
              </w:rPr>
            </w:pPr>
            <w:r>
              <w:rPr>
                <w:rFonts w:hint="eastAsia"/>
                <w:lang w:val="en-US" w:eastAsia="zh-CN"/>
              </w:rPr>
              <w:t xml:space="preserve">Introduce band n200 and </w:t>
            </w:r>
            <w:r>
              <w:rPr>
                <w:rFonts w:hint="default"/>
                <w:lang w:val="en-US" w:eastAsia="zh-TW"/>
              </w:rPr>
              <w:t>GSCN=2 (corresponding to ARFCN-ValueNR = 250) as reserved value</w:t>
            </w:r>
            <w:r>
              <w:rPr>
                <w:rFonts w:hint="eastAsia" w:eastAsia="宋体"/>
                <w:lang w:val="en-US" w:eastAsia="zh-CN"/>
              </w:rPr>
              <w:t>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spacing w:after="0"/>
              <w:ind w:left="100" w:leftChars="0"/>
            </w:pPr>
            <w:r>
              <w:rPr>
                <w:rFonts w:hint="eastAsia"/>
                <w:lang w:val="en-US" w:eastAsia="zh-CN"/>
              </w:rPr>
              <w:t>Backward compatibility issue can not be avoided.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5.2, 5.4.3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1"/>
          </w:tcPr>
          <w:p>
            <w:pPr>
              <w:pStyle w:val="82"/>
              <w:spacing w:after="0"/>
              <w:rPr>
                <w:sz w:val="8"/>
                <w:szCs w:val="8"/>
              </w:rPr>
            </w:pPr>
          </w:p>
        </w:tc>
      </w:tr>
    </w:tbl>
    <w:p>
      <w:pPr>
        <w:pStyle w:val="82"/>
        <w:spacing w:after="0"/>
        <w:rPr>
          <w:sz w:val="8"/>
          <w:szCs w:val="8"/>
        </w:rPr>
      </w:pPr>
    </w:p>
    <w:p>
      <w:pPr>
        <w:rPr>
          <w:rFonts w:ascii="Arial" w:hAnsi="Arial" w:cs="Arial"/>
          <w:b/>
          <w:sz w:val="24"/>
          <w:szCs w:val="24"/>
          <w:lang w:eastAsia="zh-CN"/>
        </w:rPr>
      </w:pPr>
    </w:p>
    <w:p>
      <w:pPr>
        <w:pStyle w:val="3"/>
        <w:ind w:left="0" w:leftChars="0" w:firstLine="0" w:firstLineChars="0"/>
        <w:outlineLvl w:val="0"/>
        <w:rPr>
          <w:rFonts w:eastAsia="??"/>
          <w:color w:val="FF0000"/>
          <w:szCs w:val="32"/>
          <w:highlight w:val="none"/>
        </w:rPr>
      </w:pPr>
      <w:bookmarkStart w:id="6" w:name="OLE_LINK6"/>
      <w:r>
        <w:rPr>
          <w:rFonts w:eastAsia="??"/>
          <w:color w:val="FF0000"/>
          <w:szCs w:val="32"/>
          <w:highlight w:val="none"/>
        </w:rPr>
        <w:t>&lt;&lt; Start of change &gt;&gt;</w:t>
      </w:r>
    </w:p>
    <w:bookmarkEnd w:id="6"/>
    <w:p>
      <w:pPr>
        <w:pStyle w:val="3"/>
        <w:rPr>
          <w:lang w:eastAsia="zh-CN"/>
        </w:rPr>
      </w:pPr>
      <w:bookmarkStart w:id="7" w:name="_Toc192602636"/>
      <w:bookmarkStart w:id="8" w:name="_Toc169713614"/>
      <w:bookmarkStart w:id="9" w:name="_Toc187246640"/>
      <w:bookmarkStart w:id="10" w:name="_Toc176445165"/>
      <w:bookmarkStart w:id="11" w:name="_Hlk515783581"/>
      <w:r>
        <w:rPr>
          <w:lang w:eastAsia="zh-CN"/>
        </w:rPr>
        <w:t>5.2</w:t>
      </w:r>
      <w:r>
        <w:rPr>
          <w:lang w:eastAsia="zh-CN"/>
        </w:rPr>
        <w:tab/>
      </w:r>
      <w:r>
        <w:rPr>
          <w:lang w:eastAsia="zh-CN"/>
        </w:rPr>
        <w:t>Operating bands</w:t>
      </w:r>
      <w:bookmarkEnd w:id="7"/>
      <w:bookmarkEnd w:id="8"/>
      <w:bookmarkEnd w:id="9"/>
      <w:bookmarkEnd w:id="10"/>
    </w:p>
    <w:p>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 and 5.2-2.</w:t>
      </w:r>
    </w:p>
    <w:p>
      <w:r>
        <w:t>NB-IoT is designed to operate in the operating bands n256, n255, n254</w:t>
      </w:r>
      <w:r>
        <w:rPr>
          <w:lang w:eastAsia="ja-JP"/>
        </w:rPr>
        <w:t xml:space="preserve"> </w:t>
      </w:r>
      <w:r>
        <w:t>which are defined in Table 5.2-1.</w:t>
      </w:r>
    </w:p>
    <w:p>
      <w:pPr>
        <w:pStyle w:val="56"/>
      </w:pPr>
      <w:r>
        <w:t xml:space="preserve">Table 5.2-1: </w:t>
      </w:r>
      <w:r>
        <w:rPr>
          <w:lang w:val="en-US" w:eastAsia="zh-CN"/>
        </w:rPr>
        <w:t>S</w:t>
      </w:r>
      <w:r>
        <w:rPr>
          <w:rFonts w:hint="eastAsia"/>
          <w:lang w:val="en-US" w:eastAsia="zh-CN"/>
        </w:rPr>
        <w:t>atellite</w:t>
      </w:r>
      <w:r>
        <w:t xml:space="preserve"> </w:t>
      </w:r>
      <w:r>
        <w:rPr>
          <w:i/>
        </w:rPr>
        <w:t>operating bands</w:t>
      </w:r>
      <w:r>
        <w:t xml:space="preserve"> in FR1-NTN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52"/>
            </w:pPr>
            <w:r>
              <w:rPr>
                <w:szCs w:val="18"/>
              </w:rPr>
              <w:t xml:space="preserve">Satellite </w:t>
            </w:r>
            <w:r>
              <w:rPr>
                <w:i/>
              </w:rPr>
              <w:t>operating band</w:t>
            </w:r>
          </w:p>
        </w:tc>
        <w:tc>
          <w:tcPr>
            <w:tcW w:w="2607" w:type="dxa"/>
            <w:shd w:val="clear" w:color="auto" w:fill="auto"/>
          </w:tcPr>
          <w:p>
            <w:pPr>
              <w:pStyle w:val="52"/>
            </w:pPr>
            <w:r>
              <w:t xml:space="preserve">Uplink (UL) </w:t>
            </w:r>
            <w:r>
              <w:rPr>
                <w:i/>
              </w:rPr>
              <w:t>operating band</w:t>
            </w:r>
            <w:r>
              <w:br w:type="textWrapping"/>
            </w:r>
            <w:r>
              <w:rPr>
                <w:rFonts w:hint="eastAsia"/>
                <w:lang w:val="en-US" w:eastAsia="zh-CN"/>
              </w:rPr>
              <w:t>SAN</w:t>
            </w:r>
            <w:r>
              <w:t xml:space="preserve"> receive / UE transmit</w:t>
            </w:r>
          </w:p>
          <w:p>
            <w:pPr>
              <w:pStyle w:val="52"/>
            </w:pPr>
            <w:r>
              <w:t>F</w:t>
            </w:r>
            <w:r>
              <w:rPr>
                <w:vertAlign w:val="subscript"/>
              </w:rPr>
              <w:t>UL,low</w:t>
            </w:r>
            <w:r>
              <w:t xml:space="preserve">   –  F</w:t>
            </w:r>
            <w:r>
              <w:rPr>
                <w:vertAlign w:val="subscript"/>
              </w:rPr>
              <w:t>UL,high</w:t>
            </w:r>
          </w:p>
        </w:tc>
        <w:tc>
          <w:tcPr>
            <w:tcW w:w="2806" w:type="dxa"/>
            <w:shd w:val="clear" w:color="auto" w:fill="auto"/>
          </w:tcPr>
          <w:p>
            <w:pPr>
              <w:pStyle w:val="52"/>
            </w:pPr>
            <w:r>
              <w:t xml:space="preserve">Downlink (DL) </w:t>
            </w:r>
            <w:r>
              <w:rPr>
                <w:i/>
              </w:rPr>
              <w:t>operating band</w:t>
            </w:r>
            <w:r>
              <w:br w:type="textWrapping"/>
            </w:r>
            <w:r>
              <w:rPr>
                <w:rFonts w:hint="eastAsia"/>
                <w:lang w:val="en-US" w:eastAsia="zh-CN"/>
              </w:rPr>
              <w:t>SAN</w:t>
            </w:r>
            <w:r>
              <w:t xml:space="preserve"> transmit / UE receive</w:t>
            </w:r>
          </w:p>
          <w:p>
            <w:pPr>
              <w:pStyle w:val="52"/>
            </w:pPr>
            <w:r>
              <w:t>F</w:t>
            </w:r>
            <w:r>
              <w:rPr>
                <w:vertAlign w:val="subscript"/>
              </w:rPr>
              <w:t>DL,low</w:t>
            </w:r>
            <w:r>
              <w:t xml:space="preserve">   –  F</w:t>
            </w:r>
            <w:r>
              <w:rPr>
                <w:vertAlign w:val="subscript"/>
              </w:rPr>
              <w:t>DL,high</w:t>
            </w:r>
          </w:p>
        </w:tc>
        <w:tc>
          <w:tcPr>
            <w:tcW w:w="1286" w:type="dxa"/>
            <w:shd w:val="clear" w:color="auto" w:fill="auto"/>
          </w:tcPr>
          <w:p>
            <w:pPr>
              <w:pStyle w:val="52"/>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53"/>
              <w:rPr>
                <w:lang w:val="en-US" w:eastAsia="zh-CN"/>
              </w:rPr>
            </w:pPr>
            <w:r>
              <w:rPr>
                <w:rFonts w:hint="eastAsia"/>
                <w:lang w:val="en-US" w:eastAsia="zh-CN"/>
              </w:rPr>
              <w:t>n256</w:t>
            </w:r>
          </w:p>
        </w:tc>
        <w:tc>
          <w:tcPr>
            <w:tcW w:w="2607" w:type="dxa"/>
            <w:shd w:val="clear" w:color="auto" w:fill="auto"/>
          </w:tcPr>
          <w:p>
            <w:pPr>
              <w:pStyle w:val="53"/>
            </w:pPr>
            <w:r>
              <w:t xml:space="preserve">1980 </w:t>
            </w:r>
            <w:r>
              <w:rPr>
                <w:rFonts w:hint="eastAsia"/>
                <w:lang w:val="en-US"/>
              </w:rPr>
              <w:t>MHz</w:t>
            </w:r>
            <w:r>
              <w:t xml:space="preserve"> – 2010 MHz</w:t>
            </w:r>
          </w:p>
        </w:tc>
        <w:tc>
          <w:tcPr>
            <w:tcW w:w="2806" w:type="dxa"/>
            <w:shd w:val="clear" w:color="auto" w:fill="auto"/>
          </w:tcPr>
          <w:p>
            <w:pPr>
              <w:pStyle w:val="53"/>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53"/>
              <w:rPr>
                <w:lang w:val="en-US" w:eastAsia="zh-CN"/>
              </w:rPr>
            </w:pPr>
            <w:r>
              <w:rPr>
                <w:rFonts w:hint="eastAsia"/>
                <w:lang w:val="en-US" w:eastAsia="zh-CN"/>
              </w:rPr>
              <w:t>n255</w:t>
            </w:r>
          </w:p>
        </w:tc>
        <w:tc>
          <w:tcPr>
            <w:tcW w:w="2607" w:type="dxa"/>
            <w:shd w:val="clear" w:color="auto" w:fill="auto"/>
          </w:tcPr>
          <w:p>
            <w:pPr>
              <w:pStyle w:val="53"/>
            </w:pPr>
            <w:r>
              <w:t>1626.5 MHz – 1660.5 MHz</w:t>
            </w:r>
          </w:p>
        </w:tc>
        <w:tc>
          <w:tcPr>
            <w:tcW w:w="2806" w:type="dxa"/>
            <w:shd w:val="clear" w:color="auto" w:fill="auto"/>
          </w:tcPr>
          <w:p>
            <w:pPr>
              <w:pStyle w:val="53"/>
            </w:pPr>
            <w:r>
              <w:t>1525 MHz – 1559</w:t>
            </w:r>
            <w:r>
              <w:rPr>
                <w:rFonts w:hint="eastAsia"/>
              </w:rPr>
              <w:t xml:space="preserve"> </w:t>
            </w:r>
            <w:r>
              <w:t>MHz</w:t>
            </w:r>
          </w:p>
        </w:tc>
        <w:tc>
          <w:tcPr>
            <w:tcW w:w="1286" w:type="dxa"/>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53"/>
              <w:rPr>
                <w:lang w:val="en-US" w:eastAsia="zh-CN"/>
              </w:rPr>
            </w:pPr>
            <w:r>
              <w:rPr>
                <w:lang w:val="en-US" w:eastAsia="zh-CN"/>
              </w:rPr>
              <w:t>n254</w:t>
            </w:r>
          </w:p>
        </w:tc>
        <w:tc>
          <w:tcPr>
            <w:tcW w:w="2607" w:type="dxa"/>
            <w:shd w:val="clear" w:color="auto" w:fill="auto"/>
          </w:tcPr>
          <w:p>
            <w:pPr>
              <w:pStyle w:val="53"/>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pPr>
              <w:pStyle w:val="53"/>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pPr>
              <w:pStyle w:val="53"/>
            </w:pPr>
            <w:r>
              <w:rPr>
                <w:lang w:val="en-US"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53"/>
              <w:rPr>
                <w:lang w:val="en-US" w:eastAsia="zh-CN"/>
              </w:rPr>
            </w:pPr>
            <w:r>
              <w:rPr>
                <w:rFonts w:eastAsia="等线"/>
                <w:lang w:val="en-US" w:eastAsia="zh-CN"/>
              </w:rPr>
              <w:t>n252</w:t>
            </w:r>
          </w:p>
        </w:tc>
        <w:tc>
          <w:tcPr>
            <w:tcW w:w="2607" w:type="dxa"/>
            <w:shd w:val="clear" w:color="auto" w:fill="auto"/>
          </w:tcPr>
          <w:p>
            <w:pPr>
              <w:pStyle w:val="53"/>
              <w:rPr>
                <w:lang w:val="en-US" w:eastAsia="zh-CN"/>
              </w:rPr>
            </w:pPr>
            <w:r>
              <w:rPr>
                <w:rFonts w:eastAsia="等线"/>
                <w:lang w:val="en-US" w:eastAsia="zh-CN"/>
              </w:rPr>
              <w:t xml:space="preserve">2000 MHz </w:t>
            </w:r>
            <w:r>
              <w:rPr>
                <w:rFonts w:eastAsia="等线"/>
              </w:rPr>
              <w:t>–</w:t>
            </w:r>
            <w:r>
              <w:rPr>
                <w:rFonts w:eastAsia="等线"/>
                <w:lang w:val="en-US" w:eastAsia="zh-CN"/>
              </w:rPr>
              <w:t xml:space="preserve"> 2020 MHz </w:t>
            </w:r>
          </w:p>
        </w:tc>
        <w:tc>
          <w:tcPr>
            <w:tcW w:w="2806" w:type="dxa"/>
            <w:shd w:val="clear" w:color="auto" w:fill="auto"/>
          </w:tcPr>
          <w:p>
            <w:pPr>
              <w:pStyle w:val="53"/>
              <w:rPr>
                <w:lang w:val="en-US" w:eastAsia="zh-CN"/>
              </w:rPr>
            </w:pPr>
            <w:r>
              <w:rPr>
                <w:rFonts w:eastAsia="等线"/>
                <w:lang w:val="en-US" w:eastAsia="zh-CN"/>
              </w:rPr>
              <w:t xml:space="preserve">2180 MHz </w:t>
            </w:r>
            <w:r>
              <w:rPr>
                <w:rFonts w:eastAsia="等线"/>
              </w:rPr>
              <w:t>–</w:t>
            </w:r>
            <w:r>
              <w:rPr>
                <w:rFonts w:eastAsia="等线"/>
                <w:lang w:val="en-US" w:eastAsia="zh-CN"/>
              </w:rPr>
              <w:t xml:space="preserve"> 2200 MHz</w:t>
            </w:r>
          </w:p>
        </w:tc>
        <w:tc>
          <w:tcPr>
            <w:tcW w:w="1286" w:type="dxa"/>
            <w:shd w:val="clear" w:color="auto" w:fill="auto"/>
          </w:tcPr>
          <w:p>
            <w:pPr>
              <w:pStyle w:val="53"/>
              <w:rPr>
                <w:lang w:val="en-US" w:eastAsia="zh-CN"/>
              </w:rPr>
            </w:pPr>
            <w:r>
              <w:rPr>
                <w:rFonts w:eastAsia="等线"/>
                <w:lang w:val="en-US"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36" w:type="dxa"/>
            <w:gridSpan w:val="4"/>
            <w:shd w:val="clear" w:color="auto" w:fill="auto"/>
          </w:tcPr>
          <w:p>
            <w:pPr>
              <w:pStyle w:val="67"/>
              <w:rPr>
                <w:ins w:id="0" w:author="ZTE, Li Lu" w:date="2025-08-07T10:17:19Z"/>
                <w:rFonts w:hint="eastAsia"/>
              </w:rPr>
            </w:pPr>
            <w:r>
              <w:t>NOTE</w:t>
            </w:r>
            <w:ins w:id="1" w:author="ZTE, Li Lu" w:date="2025-08-07T10:17:23Z">
              <w:r>
                <w:rPr>
                  <w:rFonts w:hint="eastAsia" w:eastAsia="宋体"/>
                  <w:lang w:val="en-US" w:eastAsia="zh-CN"/>
                </w:rPr>
                <w:t xml:space="preserve"> 1</w:t>
              </w:r>
            </w:ins>
            <w:r>
              <w:t>:</w:t>
            </w:r>
            <w:r>
              <w:tab/>
            </w:r>
            <w:r>
              <w:t xml:space="preserve">Satellite </w:t>
            </w:r>
            <w:r>
              <w:rPr>
                <w:rFonts w:hint="eastAsia"/>
              </w:rPr>
              <w:t xml:space="preserve">bands are numbered in </w:t>
            </w:r>
            <w:r>
              <w:t>descending</w:t>
            </w:r>
            <w:r>
              <w:rPr>
                <w:rFonts w:hint="eastAsia"/>
              </w:rPr>
              <w:t xml:space="preserve"> order from n256.</w:t>
            </w:r>
          </w:p>
          <w:p>
            <w:pPr>
              <w:pStyle w:val="67"/>
              <w:rPr>
                <w:rFonts w:hint="eastAsia"/>
              </w:rPr>
            </w:pPr>
            <w:ins w:id="2" w:author="ZTE, Li Lu" w:date="2025-08-07T10:17:20Z">
              <w:r>
                <w:rPr>
                  <w:rFonts w:hint="eastAsia" w:eastAsia="宋体"/>
                  <w:highlight w:val="none"/>
                  <w:lang w:val="en-US" w:eastAsia="zh-CN"/>
                </w:rPr>
                <w:t xml:space="preserve">NOTE 2: </w:t>
              </w:r>
            </w:ins>
            <w:ins w:id="3" w:author="ZTE, Li Lu" w:date="2025-08-07T10:28:54Z">
              <w:r>
                <w:rPr>
                  <w:rFonts w:hint="eastAsia" w:eastAsia="宋体"/>
                  <w:highlight w:val="none"/>
                  <w:lang w:val="en-US" w:eastAsia="zh-CN"/>
                </w:rPr>
                <w:t xml:space="preserve">  </w:t>
              </w:r>
            </w:ins>
            <w:ins w:id="4" w:author="ZTE, Li Lu" w:date="2025-08-07T10:17:20Z">
              <w:r>
                <w:rPr>
                  <w:rFonts w:hint="eastAsia" w:eastAsia="宋体"/>
                  <w:highlight w:val="none"/>
                  <w:lang w:val="en-US" w:eastAsia="zh-CN"/>
                </w:rPr>
                <w:t>Operating band n200 is a reserved value.</w:t>
              </w:r>
            </w:ins>
          </w:p>
        </w:tc>
      </w:tr>
    </w:tbl>
    <w:p/>
    <w:p>
      <w:pPr>
        <w:rPr>
          <w:lang w:val="en-US"/>
        </w:rPr>
      </w:pPr>
    </w:p>
    <w:bookmarkEnd w:id="11"/>
    <w:p>
      <w:pPr>
        <w:pStyle w:val="3"/>
        <w:rPr>
          <w:rFonts w:eastAsia="??"/>
          <w:color w:val="FF0000"/>
          <w:szCs w:val="32"/>
        </w:rPr>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4"/>
      </w:pPr>
      <w:bookmarkStart w:id="12" w:name="_Toc131766317"/>
      <w:bookmarkStart w:id="13" w:name="_Toc114255464"/>
      <w:bookmarkStart w:id="14" w:name="_Toc115186144"/>
      <w:bookmarkStart w:id="15" w:name="_Toc124157023"/>
      <w:bookmarkStart w:id="16" w:name="_Toc131595785"/>
      <w:bookmarkStart w:id="17" w:name="_Toc176875966"/>
      <w:bookmarkStart w:id="18" w:name="_Toc107419244"/>
      <w:bookmarkStart w:id="19" w:name="_Toc123051877"/>
      <w:bookmarkStart w:id="20" w:name="_Toc123054346"/>
      <w:bookmarkStart w:id="21" w:name="_Toc187245471"/>
      <w:bookmarkStart w:id="22" w:name="_Toc138837539"/>
      <w:bookmarkStart w:id="23" w:name="_Toc107311660"/>
      <w:bookmarkStart w:id="24" w:name="_Toc124266427"/>
      <w:bookmarkStart w:id="25" w:name="_Toc123717447"/>
      <w:bookmarkStart w:id="26" w:name="_Toc156567360"/>
      <w:bookmarkStart w:id="27" w:name="_Toc107474871"/>
      <w:bookmarkStart w:id="28" w:name="_Toc194092324"/>
      <w:bookmarkStart w:id="29" w:name="_Toc106782769"/>
      <w:bookmarkStart w:id="30" w:name="_Toc131740783"/>
      <w:bookmarkStart w:id="31" w:name="_Toc123048958"/>
      <w:r>
        <w:rPr>
          <w:rFonts w:eastAsia="Yu Mincho"/>
        </w:rPr>
        <w:t>5.4.3</w:t>
      </w:r>
      <w:r>
        <w:rPr>
          <w:rFonts w:eastAsia="Yu Mincho"/>
        </w:rPr>
        <w:tab/>
      </w:r>
      <w:r>
        <w:rPr>
          <w:rFonts w:eastAsia="Yu Mincho"/>
        </w:rPr>
        <w:t>Synchronization raster</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pStyle w:val="5"/>
        <w:rPr>
          <w:rFonts w:eastAsia="Yu Mincho"/>
        </w:rPr>
      </w:pPr>
      <w:bookmarkStart w:id="32" w:name="_Toc124157743"/>
      <w:bookmarkStart w:id="33" w:name="_Toc53178600"/>
      <w:bookmarkStart w:id="34" w:name="_Toc45893422"/>
      <w:bookmarkStart w:id="35" w:name="_Toc169713629"/>
      <w:bookmarkStart w:id="36" w:name="_Toc29811651"/>
      <w:bookmarkStart w:id="37" w:name="_Toc37267507"/>
      <w:bookmarkStart w:id="38" w:name="_Toc53178149"/>
      <w:bookmarkStart w:id="39" w:name="_Toc155776985"/>
      <w:bookmarkStart w:id="40" w:name="_Toc114242160"/>
      <w:bookmarkStart w:id="41" w:name="_Toc74663190"/>
      <w:bookmarkStart w:id="42" w:name="_Toc145643263"/>
      <w:bookmarkStart w:id="43" w:name="_Toc61178826"/>
      <w:bookmarkStart w:id="44" w:name="_Toc155472097"/>
      <w:bookmarkStart w:id="45" w:name="_Toc187246655"/>
      <w:bookmarkStart w:id="46" w:name="_Toc37260119"/>
      <w:bookmarkStart w:id="47" w:name="_Toc130584737"/>
      <w:bookmarkStart w:id="48" w:name="_Toc192602652"/>
      <w:bookmarkStart w:id="49" w:name="_Toc36817203"/>
      <w:bookmarkStart w:id="50" w:name="_Toc44712109"/>
      <w:bookmarkStart w:id="51" w:name="_Toc82621730"/>
      <w:bookmarkStart w:id="52" w:name="_Toc104310979"/>
      <w:bookmarkStart w:id="53" w:name="_Toc124259666"/>
      <w:bookmarkStart w:id="54" w:name="_Toc176445180"/>
      <w:bookmarkStart w:id="55" w:name="_Toc61179296"/>
      <w:bookmarkStart w:id="56" w:name="_Toc138884062"/>
      <w:bookmarkStart w:id="57" w:name="_Toc106126679"/>
      <w:bookmarkStart w:id="58" w:name="_Toc137464393"/>
      <w:bookmarkStart w:id="59" w:name="_Toc123044104"/>
      <w:bookmarkStart w:id="60" w:name="_Toc161668321"/>
      <w:bookmarkStart w:id="61" w:name="_Toc67916592"/>
      <w:bookmarkStart w:id="62" w:name="_Toc21127444"/>
      <w:bookmarkStart w:id="63" w:name="_Toc90422577"/>
      <w:bookmarkStart w:id="64" w:name="_Toc106176992"/>
      <w:r>
        <w:rPr>
          <w:rFonts w:eastAsia="Yu Mincho"/>
        </w:rPr>
        <w:t>5.4.3.1</w:t>
      </w:r>
      <w:r>
        <w:rPr>
          <w:rFonts w:eastAsia="Yu Mincho"/>
        </w:rPr>
        <w:tab/>
      </w:r>
      <w:r>
        <w:rPr>
          <w:rFonts w:eastAsia="Yu Mincho"/>
        </w:rPr>
        <w:t>Synchronization raster and numbering</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pPr>
        <w:rPr>
          <w:rFonts w:eastAsia="Yu Mincho"/>
        </w:rPr>
      </w:pPr>
      <w:r>
        <w:rPr>
          <w:rFonts w:eastAsia="Yu Mincho"/>
        </w:rPr>
        <w:t>The synchronization raster indicates the frequency positions of the synchronization block that can be used by the UE for system acquisition when explicit signalling of the synchronization block position is not present.</w:t>
      </w:r>
    </w:p>
    <w:p>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 for above 3 MHz channel bandwidth and in Table 5.4.3.1-2 for 3 MHz channel bandwidth.</w:t>
      </w:r>
    </w:p>
    <w:p>
      <w:pPr>
        <w:rPr>
          <w:rFonts w:eastAsia="Yu Mincho"/>
        </w:rPr>
      </w:pPr>
      <w:r>
        <w:rPr>
          <w:rFonts w:eastAsia="Yu Mincho"/>
        </w:rPr>
        <w:t>The resource element corresponding to the SS block reference frequency SS</w:t>
      </w:r>
      <w:r>
        <w:rPr>
          <w:rFonts w:eastAsia="Yu Mincho"/>
          <w:vertAlign w:val="subscript"/>
        </w:rPr>
        <w:t>REF</w:t>
      </w:r>
      <w:r>
        <w:rPr>
          <w:rFonts w:eastAsia="Yu Mincho"/>
        </w:rPr>
        <w:t xml:space="preserve"> is given in clause 5.4.3.2. The synchronization raster and the subcarrier spacing of the synchronization block </w:t>
      </w:r>
      <w:r>
        <w:rPr>
          <w:rFonts w:hint="eastAsia"/>
        </w:rPr>
        <w:t>are</w:t>
      </w:r>
      <w:r>
        <w:rPr>
          <w:rFonts w:eastAsia="Yu Mincho"/>
        </w:rPr>
        <w:t xml:space="preserve"> defined separately for each band.</w:t>
      </w:r>
    </w:p>
    <w:p>
      <w:pPr>
        <w:rPr>
          <w:rFonts w:eastAsia="Yu Mincho"/>
          <w:lang w:eastAsia="ja-JP"/>
        </w:rPr>
      </w:pPr>
      <w:r>
        <w:t xml:space="preserve">The synchronization raster and the corresponding SS block do not cover all possible RF channel bandwidth and locations on </w:t>
      </w:r>
      <w:r>
        <w:rPr>
          <w:i/>
        </w:rPr>
        <w:t>enhanced channel raster</w:t>
      </w:r>
      <w:r>
        <w:t>.</w:t>
      </w:r>
    </w:p>
    <w:p>
      <w:pPr>
        <w:pStyle w:val="56"/>
      </w:pPr>
      <w:r>
        <w:t xml:space="preserve">Table 5.4.3.1-1: </w:t>
      </w:r>
      <w:r>
        <w:rPr>
          <w:rFonts w:eastAsia="Yu Mincho"/>
        </w:rPr>
        <w:t>GSCN parameters for the global frequency raster</w:t>
      </w:r>
      <w:r>
        <w:rPr>
          <w:rFonts w:hint="eastAsia" w:eastAsia="Yu Mincho"/>
          <w:lang w:eastAsia="ja-JP"/>
        </w:rPr>
        <w:t xml:space="preserve"> for above 3 MHz channel bandwidth</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1"/>
        <w:gridCol w:w="2806"/>
        <w:gridCol w:w="1518"/>
        <w:gridCol w:w="1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52"/>
            </w:pPr>
            <w:r>
              <w:t>Range of frequencies (MHz)</w:t>
            </w:r>
          </w:p>
        </w:tc>
        <w:tc>
          <w:tcPr>
            <w:tcW w:w="2806" w:type="dxa"/>
            <w:tcBorders>
              <w:top w:val="single" w:color="auto" w:sz="4" w:space="0"/>
              <w:left w:val="single" w:color="auto" w:sz="4" w:space="0"/>
              <w:bottom w:val="single" w:color="auto" w:sz="4" w:space="0"/>
              <w:right w:val="single" w:color="auto" w:sz="4" w:space="0"/>
            </w:tcBorders>
            <w:vAlign w:val="center"/>
          </w:tcPr>
          <w:p>
            <w:pPr>
              <w:pStyle w:val="52"/>
            </w:pPr>
            <w:r>
              <w:t>SS block frequency position SS</w:t>
            </w:r>
            <w:r>
              <w:rPr>
                <w:vertAlign w:val="subscript"/>
              </w:rPr>
              <w:t>REF</w:t>
            </w:r>
          </w:p>
        </w:tc>
        <w:tc>
          <w:tcPr>
            <w:tcW w:w="1518" w:type="dxa"/>
            <w:tcBorders>
              <w:top w:val="single" w:color="auto" w:sz="4" w:space="0"/>
              <w:left w:val="single" w:color="auto" w:sz="4" w:space="0"/>
              <w:bottom w:val="single" w:color="auto" w:sz="4" w:space="0"/>
              <w:right w:val="single" w:color="auto" w:sz="4" w:space="0"/>
            </w:tcBorders>
            <w:vAlign w:val="center"/>
          </w:tcPr>
          <w:p>
            <w:pPr>
              <w:pStyle w:val="52"/>
            </w:pPr>
            <w:r>
              <w:t>GSCN</w:t>
            </w:r>
          </w:p>
        </w:tc>
        <w:tc>
          <w:tcPr>
            <w:tcW w:w="1790" w:type="dxa"/>
            <w:tcBorders>
              <w:top w:val="single" w:color="auto" w:sz="4" w:space="0"/>
              <w:left w:val="single" w:color="auto" w:sz="4" w:space="0"/>
              <w:bottom w:val="single" w:color="auto" w:sz="4" w:space="0"/>
              <w:right w:val="single" w:color="auto" w:sz="4" w:space="0"/>
            </w:tcBorders>
            <w:vAlign w:val="center"/>
          </w:tcPr>
          <w:p>
            <w:pPr>
              <w:pStyle w:val="52"/>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0 – 3000</w:t>
            </w:r>
          </w:p>
        </w:tc>
        <w:tc>
          <w:tcPr>
            <w:tcW w:w="2806"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N * 1200 kHz + M * 50 kHz,</w:t>
            </w:r>
          </w:p>
          <w:p>
            <w:pPr>
              <w:pStyle w:val="53"/>
              <w:rPr>
                <w:lang w:eastAsia="ja-JP"/>
              </w:rPr>
            </w:pPr>
            <w:r>
              <w:rPr>
                <w:lang w:eastAsia="ja-JP"/>
              </w:rPr>
              <w:t>N = 1:2499, M ϵ {1,3,5} (Note)</w:t>
            </w:r>
          </w:p>
        </w:tc>
        <w:tc>
          <w:tcPr>
            <w:tcW w:w="1518"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3N + (M-3)/2</w:t>
            </w:r>
          </w:p>
        </w:tc>
        <w:tc>
          <w:tcPr>
            <w:tcW w:w="1790"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2</w:t>
            </w:r>
            <w:ins w:id="5" w:author="ZTE, Li Lu" w:date="2025-08-07T10:16:24Z">
              <w:r>
                <w:rPr>
                  <w:rFonts w:hint="eastAsia" w:eastAsia="宋体"/>
                  <w:vertAlign w:val="superscript"/>
                  <w:lang w:val="en-US" w:eastAsia="zh-CN"/>
                  <w:rPrChange w:id="6" w:author="ZTE, Li Lu" w:date="2025-08-07T10:16:29Z">
                    <w:rPr>
                      <w:rFonts w:hint="eastAsia" w:eastAsia="宋体"/>
                      <w:lang w:val="en-US" w:eastAsia="zh-CN"/>
                    </w:rPr>
                  </w:rPrChange>
                </w:rPr>
                <w:t>2</w:t>
              </w:r>
            </w:ins>
            <w:r>
              <w:rPr>
                <w:lang w:eastAsia="ja-JP"/>
              </w:rPr>
              <w:t xml:space="preserve"> – 7498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3000 – 24250</w:t>
            </w:r>
          </w:p>
        </w:tc>
        <w:tc>
          <w:tcPr>
            <w:tcW w:w="2806"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 xml:space="preserve">3000 MHz + N * 1.44 MHz, </w:t>
            </w:r>
            <w:r>
              <w:rPr>
                <w:lang w:eastAsia="ja-JP"/>
              </w:rPr>
              <w:br w:type="textWrapping"/>
            </w:r>
            <w:r>
              <w:rPr>
                <w:lang w:eastAsia="ja-JP"/>
              </w:rPr>
              <w:t>N = 0:14756</w:t>
            </w:r>
          </w:p>
        </w:tc>
        <w:tc>
          <w:tcPr>
            <w:tcW w:w="1518"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7499 + N</w:t>
            </w:r>
          </w:p>
        </w:tc>
        <w:tc>
          <w:tcPr>
            <w:tcW w:w="1790"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55" w:type="dxa"/>
            <w:gridSpan w:val="4"/>
            <w:tcBorders>
              <w:top w:val="single" w:color="auto" w:sz="4" w:space="0"/>
              <w:left w:val="single" w:color="auto" w:sz="4" w:space="0"/>
              <w:bottom w:val="single" w:color="auto" w:sz="4" w:space="0"/>
              <w:right w:val="single" w:color="auto" w:sz="4" w:space="0"/>
            </w:tcBorders>
            <w:vAlign w:val="center"/>
          </w:tcPr>
          <w:p>
            <w:pPr>
              <w:pStyle w:val="67"/>
              <w:rPr>
                <w:ins w:id="7" w:author="ZTE, Li Lu" w:date="2025-08-07T10:16:07Z"/>
              </w:rPr>
            </w:pPr>
            <w:r>
              <w:t>NOTE</w:t>
            </w:r>
            <w:ins w:id="8" w:author="ZTE, Li Lu" w:date="2025-08-07T10:16:06Z">
              <w:r>
                <w:rPr>
                  <w:rFonts w:hint="eastAsia" w:eastAsia="宋体"/>
                  <w:lang w:val="en-US" w:eastAsia="zh-CN"/>
                </w:rPr>
                <w:t xml:space="preserve"> 1</w:t>
              </w:r>
            </w:ins>
            <w:r>
              <w:t>:</w:t>
            </w:r>
            <w:r>
              <w:tab/>
            </w:r>
            <w:r>
              <w:t xml:space="preserve">The default value for </w:t>
            </w:r>
            <w:r>
              <w:rPr>
                <w:i/>
              </w:rPr>
              <w:t>operating bands</w:t>
            </w:r>
            <w:r>
              <w:t xml:space="preserve"> which only support SCS spaced channel raster(s) is M=3.</w:t>
            </w:r>
          </w:p>
          <w:p>
            <w:pPr>
              <w:pStyle w:val="67"/>
            </w:pPr>
            <w:ins w:id="9" w:author="ZTE, Li Lu" w:date="2025-08-07T10:16:15Z">
              <w:r>
                <w:rPr/>
                <w:t xml:space="preserve">NOTE </w:t>
              </w:r>
            </w:ins>
            <w:ins w:id="10" w:author="ZTE, Li Lu" w:date="2025-08-07T10:16:15Z">
              <w:r>
                <w:rPr>
                  <w:rFonts w:hint="eastAsia"/>
                  <w:lang w:val="en-US" w:eastAsia="zh-CN"/>
                </w:rPr>
                <w:t>2</w:t>
              </w:r>
            </w:ins>
            <w:ins w:id="11" w:author="ZTE, Li Lu" w:date="2025-08-07T10:16:15Z">
              <w:r>
                <w:rPr/>
                <w:t>:</w:t>
              </w:r>
            </w:ins>
            <w:ins w:id="12" w:author="ZTE, Li Lu" w:date="2025-08-07T10:16:15Z">
              <w:r>
                <w:rPr/>
                <w:tab/>
              </w:r>
            </w:ins>
            <w:ins w:id="13" w:author="ZTE, Li Lu" w:date="2025-08-07T10:16:15Z">
              <w:r>
                <w:rPr>
                  <w:rFonts w:hint="eastAsia"/>
                  <w:lang w:val="en-US" w:eastAsia="zh-CN"/>
                </w:rPr>
                <w:t>GSCN=2 (corresponding to ARFCN-ValueNR = 250) is a reserved value paired with reserved operating band n200.</w:t>
              </w:r>
            </w:ins>
          </w:p>
        </w:tc>
      </w:tr>
    </w:tbl>
    <w:p>
      <w:pPr>
        <w:rPr>
          <w:rFonts w:eastAsia="Yu Mincho"/>
          <w:lang w:eastAsia="ja-JP"/>
        </w:rPr>
      </w:pPr>
    </w:p>
    <w:p>
      <w:pPr>
        <w:rPr>
          <w:b/>
          <w:bCs/>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B27018"/>
    <w:rsid w:val="01EA1E73"/>
    <w:rsid w:val="01FB6CC7"/>
    <w:rsid w:val="022F73A2"/>
    <w:rsid w:val="024A2BFA"/>
    <w:rsid w:val="02735A50"/>
    <w:rsid w:val="02EF6F17"/>
    <w:rsid w:val="03662B4B"/>
    <w:rsid w:val="04C141EF"/>
    <w:rsid w:val="04E27F0B"/>
    <w:rsid w:val="066F5DFA"/>
    <w:rsid w:val="06B96C92"/>
    <w:rsid w:val="06C00C91"/>
    <w:rsid w:val="070E7EA6"/>
    <w:rsid w:val="07720BEE"/>
    <w:rsid w:val="08FB15F8"/>
    <w:rsid w:val="097A3C8B"/>
    <w:rsid w:val="09ED206A"/>
    <w:rsid w:val="0AF47AC0"/>
    <w:rsid w:val="0B3421A9"/>
    <w:rsid w:val="0B5528D4"/>
    <w:rsid w:val="0CC839FA"/>
    <w:rsid w:val="0D883A4B"/>
    <w:rsid w:val="0D8B7F54"/>
    <w:rsid w:val="0DCC5D9C"/>
    <w:rsid w:val="0E2477ED"/>
    <w:rsid w:val="0E42772B"/>
    <w:rsid w:val="0F471140"/>
    <w:rsid w:val="0F5C4047"/>
    <w:rsid w:val="106912EC"/>
    <w:rsid w:val="11535CDA"/>
    <w:rsid w:val="119F0F1F"/>
    <w:rsid w:val="13872FAB"/>
    <w:rsid w:val="13AB5B98"/>
    <w:rsid w:val="13B75D84"/>
    <w:rsid w:val="14B65127"/>
    <w:rsid w:val="155819E4"/>
    <w:rsid w:val="166A0F30"/>
    <w:rsid w:val="16B07251"/>
    <w:rsid w:val="17552D92"/>
    <w:rsid w:val="17DE3219"/>
    <w:rsid w:val="1B322073"/>
    <w:rsid w:val="1CCC0028"/>
    <w:rsid w:val="1DF64BDF"/>
    <w:rsid w:val="1EBB6C6C"/>
    <w:rsid w:val="1F4619F0"/>
    <w:rsid w:val="1F7033A3"/>
    <w:rsid w:val="202078D0"/>
    <w:rsid w:val="20D17ADB"/>
    <w:rsid w:val="22800F36"/>
    <w:rsid w:val="22B10462"/>
    <w:rsid w:val="231D1CA3"/>
    <w:rsid w:val="23EE57BB"/>
    <w:rsid w:val="241C73D4"/>
    <w:rsid w:val="245C180B"/>
    <w:rsid w:val="247C6535"/>
    <w:rsid w:val="2556666B"/>
    <w:rsid w:val="25655096"/>
    <w:rsid w:val="265137C8"/>
    <w:rsid w:val="274B3CAA"/>
    <w:rsid w:val="2755506D"/>
    <w:rsid w:val="27713266"/>
    <w:rsid w:val="27C35972"/>
    <w:rsid w:val="27F650AB"/>
    <w:rsid w:val="28C62EC2"/>
    <w:rsid w:val="28F854BF"/>
    <w:rsid w:val="29DE41AC"/>
    <w:rsid w:val="2B41402B"/>
    <w:rsid w:val="2B7B6DE1"/>
    <w:rsid w:val="2BB62C98"/>
    <w:rsid w:val="2BCC57E6"/>
    <w:rsid w:val="2C2D29F5"/>
    <w:rsid w:val="2CE94C27"/>
    <w:rsid w:val="2DD12A0D"/>
    <w:rsid w:val="2E0D0B7C"/>
    <w:rsid w:val="2E9F50EF"/>
    <w:rsid w:val="2F12684E"/>
    <w:rsid w:val="2F81476B"/>
    <w:rsid w:val="2FE42D91"/>
    <w:rsid w:val="2FF5428A"/>
    <w:rsid w:val="30226363"/>
    <w:rsid w:val="30DF35A3"/>
    <w:rsid w:val="30E1401A"/>
    <w:rsid w:val="32AC7A63"/>
    <w:rsid w:val="33742AF6"/>
    <w:rsid w:val="369C7545"/>
    <w:rsid w:val="36AB1EB1"/>
    <w:rsid w:val="36FB52A1"/>
    <w:rsid w:val="3799719A"/>
    <w:rsid w:val="37F04C60"/>
    <w:rsid w:val="38BB5645"/>
    <w:rsid w:val="38D82241"/>
    <w:rsid w:val="39A52CDB"/>
    <w:rsid w:val="3A191ECB"/>
    <w:rsid w:val="3B696FB6"/>
    <w:rsid w:val="3B8E68B4"/>
    <w:rsid w:val="3BE15844"/>
    <w:rsid w:val="3C233866"/>
    <w:rsid w:val="3D683D3C"/>
    <w:rsid w:val="3E522FD3"/>
    <w:rsid w:val="3E7D435E"/>
    <w:rsid w:val="3F291190"/>
    <w:rsid w:val="3F6A7A1B"/>
    <w:rsid w:val="3F7F026F"/>
    <w:rsid w:val="3FD3182D"/>
    <w:rsid w:val="401A1FE7"/>
    <w:rsid w:val="40D36A7A"/>
    <w:rsid w:val="41EF445F"/>
    <w:rsid w:val="421C5582"/>
    <w:rsid w:val="42852A53"/>
    <w:rsid w:val="42981B1F"/>
    <w:rsid w:val="42C71429"/>
    <w:rsid w:val="42E62571"/>
    <w:rsid w:val="43B64B00"/>
    <w:rsid w:val="43CE68AA"/>
    <w:rsid w:val="4560205F"/>
    <w:rsid w:val="45DF5204"/>
    <w:rsid w:val="465075ED"/>
    <w:rsid w:val="46CD6F14"/>
    <w:rsid w:val="47277642"/>
    <w:rsid w:val="476E7321"/>
    <w:rsid w:val="487F2BDE"/>
    <w:rsid w:val="49EE2F52"/>
    <w:rsid w:val="4A41717C"/>
    <w:rsid w:val="4ABE5918"/>
    <w:rsid w:val="4AC66D69"/>
    <w:rsid w:val="4AF64BDF"/>
    <w:rsid w:val="4B181206"/>
    <w:rsid w:val="4B8F2FFB"/>
    <w:rsid w:val="4CD034C5"/>
    <w:rsid w:val="4CEA7DD4"/>
    <w:rsid w:val="4D215C75"/>
    <w:rsid w:val="4D890E10"/>
    <w:rsid w:val="4D8D5BC8"/>
    <w:rsid w:val="4DCE3A17"/>
    <w:rsid w:val="4F2A4CA2"/>
    <w:rsid w:val="4FCF1E22"/>
    <w:rsid w:val="50AD6916"/>
    <w:rsid w:val="50B959CF"/>
    <w:rsid w:val="51A9145F"/>
    <w:rsid w:val="521134A1"/>
    <w:rsid w:val="52551B81"/>
    <w:rsid w:val="5256093E"/>
    <w:rsid w:val="528B1ED6"/>
    <w:rsid w:val="52921E64"/>
    <w:rsid w:val="54023470"/>
    <w:rsid w:val="545C4720"/>
    <w:rsid w:val="55D83684"/>
    <w:rsid w:val="57B33A39"/>
    <w:rsid w:val="59600776"/>
    <w:rsid w:val="598145F7"/>
    <w:rsid w:val="5B0B3621"/>
    <w:rsid w:val="5B1F1820"/>
    <w:rsid w:val="5DA057AA"/>
    <w:rsid w:val="5DFC7966"/>
    <w:rsid w:val="5F0470F0"/>
    <w:rsid w:val="5F33214A"/>
    <w:rsid w:val="60272B13"/>
    <w:rsid w:val="61B377DE"/>
    <w:rsid w:val="61B84E22"/>
    <w:rsid w:val="61FF0CA7"/>
    <w:rsid w:val="625873FA"/>
    <w:rsid w:val="6359330B"/>
    <w:rsid w:val="63645712"/>
    <w:rsid w:val="63DD1F16"/>
    <w:rsid w:val="63F33D9D"/>
    <w:rsid w:val="64E413EB"/>
    <w:rsid w:val="65961893"/>
    <w:rsid w:val="66703149"/>
    <w:rsid w:val="66D13BEB"/>
    <w:rsid w:val="671E7B86"/>
    <w:rsid w:val="6871179A"/>
    <w:rsid w:val="687B0437"/>
    <w:rsid w:val="68D20407"/>
    <w:rsid w:val="69BB729D"/>
    <w:rsid w:val="6BCB7F53"/>
    <w:rsid w:val="6C4460A5"/>
    <w:rsid w:val="6D237289"/>
    <w:rsid w:val="6E182605"/>
    <w:rsid w:val="6F077683"/>
    <w:rsid w:val="6F65559E"/>
    <w:rsid w:val="70C66A8C"/>
    <w:rsid w:val="70D516AA"/>
    <w:rsid w:val="72361390"/>
    <w:rsid w:val="73A80E1A"/>
    <w:rsid w:val="749D3C11"/>
    <w:rsid w:val="75584F77"/>
    <w:rsid w:val="75864C7B"/>
    <w:rsid w:val="7596101A"/>
    <w:rsid w:val="765C43B5"/>
    <w:rsid w:val="766320D3"/>
    <w:rsid w:val="774D2AFE"/>
    <w:rsid w:val="77A6153E"/>
    <w:rsid w:val="78594A31"/>
    <w:rsid w:val="788A79E7"/>
    <w:rsid w:val="78BE6326"/>
    <w:rsid w:val="78E168EA"/>
    <w:rsid w:val="79255C9B"/>
    <w:rsid w:val="797569EC"/>
    <w:rsid w:val="7ABD0A8D"/>
    <w:rsid w:val="7D537917"/>
    <w:rsid w:val="7E95590D"/>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TotalTime>
  <ScaleCrop>false</ScaleCrop>
  <LinksUpToDate>false</LinksUpToDate>
  <CharactersWithSpaces>2377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2025-08-26T13:19:46Z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EC008AEA4AFF41E9AFBAE04F6F882572</vt:lpwstr>
  </property>
</Properties>
</file>